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Lee Data Center Site Investment</w:t>
      </w:r>
    </w:p>
    <w:p>
      <w:pPr>
        <w:pStyle w:val="Subtitle"/>
      </w:pPr>
      <w:r>
        <w:t>Investment Committee Recommendation</w:t>
      </w:r>
    </w:p>
    <w:p>
      <w:r>
        <w:rPr>
          <w:b w:val="0"/>
          <w:sz w:val="19"/>
        </w:rPr>
        <w:t>16000 Midlothian Turnpike, Midlothian, Virginia  |  10 MW  |  October 28, 2026</w:t>
      </w:r>
    </w:p>
    <w:p>
      <w:r>
        <w:rPr>
          <w:b/>
        </w:rPr>
        <w:t>Recommendation: Defer land acquisition, construction and debt drawdown.</w:t>
      </w:r>
    </w:p>
    <w:p>
      <w:r>
        <w:rPr>
          <w:b w:val="0"/>
        </w:rPr>
        <w:t>The base case returns 16.2% equity IRR but only 0.50x minimum DSCR against a 1.30x covenant. A public industrial listing is not evidence of data-center entitlement or power delivery. Require site diligence and revised financing before commitment.</w:t>
      </w:r>
    </w:p>
    <w:p>
      <w:pPr>
        <w:pStyle w:val="Heading1"/>
      </w:pPr>
      <w:r>
        <w:t>Listed property and acquisition basis</w:t>
      </w:r>
    </w:p>
    <w:p>
      <w:r>
        <w:rPr>
          <w:b w:val="0"/>
        </w:rPr>
        <w:t>Commonwealth Commercial advertises 28.693 acres for sale at 16000 Midlothian Turnpike, VA 23113 [1]. Its offering flyer quotes $9.8 million [2], approximately $341,547 per gross acre. The listing reports I-2 industrial zoning and water availability. These are broker representations, not independently verified permitted use or utility capacity. Availability and asking price were checked online on October 28, 2026; no broker contact or site control is represented.</w:t>
      </w:r>
    </w:p>
    <w:tbl>
      <w:tblPr>
        <w:tblW w:type="auto" w:w="0"/>
        <w:jc w:val="center"/>
        <w:tblLayout w:type="fixed"/>
        <w:tblLook w:firstColumn="1" w:firstRow="1" w:lastColumn="0" w:lastRow="0" w:noHBand="0" w:noVBand="1" w:val="04A0"/>
      </w:tblPr>
      <w:tblGrid>
        <w:gridCol w:w="7920"/>
        <w:gridCol w:w="2304"/>
      </w:tblGrid>
      <w:tr>
        <w:trPr>
          <w:cantSplit/>
          <w:tblHeader/>
        </w:trPr>
        <w:tc>
          <w:tcPr>
            <w:tcW w:type="dxa" w:w="7920"/>
            <w:vAlign w:val="center"/>
            <w:shd w:fill="19282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color w:val="FFFFFF"/>
                <w:sz w:val="19"/>
              </w:rPr>
              <w:t>Site acquisition and enabling basis</w:t>
            </w:r>
          </w:p>
        </w:tc>
        <w:tc>
          <w:tcPr>
            <w:tcW w:type="dxa" w:w="2304"/>
            <w:vAlign w:val="center"/>
            <w:shd w:fill="19282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color w:val="FFFFFF"/>
                <w:sz w:val="19"/>
              </w:rPr>
              <w:t>USD millions</w:t>
            </w:r>
          </w:p>
        </w:tc>
      </w:tr>
      <w:tr>
        <w:trPr>
          <w:cantSplit/>
        </w:trPr>
        <w:tc>
          <w:tcPr>
            <w:tcW w:type="dxa" w:w="792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Whole parcel at published asking price</w:t>
            </w:r>
          </w:p>
        </w:tc>
        <w:tc>
          <w:tcPr>
            <w:tcW w:type="dxa" w:w="23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9.800</w:t>
            </w:r>
          </w:p>
        </w:tc>
      </w:tr>
      <w:tr>
        <w:trPr>
          <w:cantSplit/>
        </w:trPr>
        <w:tc>
          <w:tcPr>
            <w:tcW w:type="dxa" w:w="7920"/>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Closing allowance — 2% of purchase price</w:t>
            </w:r>
          </w:p>
        </w:tc>
        <w:tc>
          <w:tcPr>
            <w:tcW w:type="dxa" w:w="2304"/>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0.196</w:t>
            </w:r>
          </w:p>
        </w:tc>
      </w:tr>
      <w:tr>
        <w:trPr>
          <w:cantSplit/>
        </w:trPr>
        <w:tc>
          <w:tcPr>
            <w:tcW w:type="dxa" w:w="792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Diligence allowance</w:t>
            </w:r>
          </w:p>
        </w:tc>
        <w:tc>
          <w:tcPr>
            <w:tcW w:type="dxa" w:w="23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0.150</w:t>
            </w:r>
          </w:p>
        </w:tc>
      </w:tr>
      <w:tr>
        <w:trPr>
          <w:cantSplit/>
        </w:trPr>
        <w:tc>
          <w:tcPr>
            <w:tcW w:type="dxa" w:w="7920"/>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Enabling works allowance</w:t>
            </w:r>
          </w:p>
        </w:tc>
        <w:tc>
          <w:tcPr>
            <w:tcW w:type="dxa" w:w="2304"/>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0.750</w:t>
            </w:r>
          </w:p>
        </w:tc>
      </w:tr>
      <w:tr>
        <w:trPr>
          <w:cantSplit/>
        </w:trPr>
        <w:tc>
          <w:tcPr>
            <w:tcW w:type="dxa" w:w="792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Two years carrying allowance — 1% of price / year</w:t>
            </w:r>
          </w:p>
        </w:tc>
        <w:tc>
          <w:tcPr>
            <w:tcW w:type="dxa" w:w="230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0.196</w:t>
            </w:r>
          </w:p>
        </w:tc>
      </w:tr>
      <w:tr>
        <w:trPr>
          <w:cantSplit/>
        </w:trPr>
        <w:tc>
          <w:tcPr>
            <w:tcW w:type="dxa" w:w="7920"/>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Total site basis</w:t>
            </w:r>
          </w:p>
        </w:tc>
        <w:tc>
          <w:tcPr>
            <w:tcW w:type="dxa" w:w="2304"/>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11.092</w:t>
            </w:r>
          </w:p>
        </w:tc>
      </w:tr>
    </w:tbl>
    <w:p>
      <w:pPr>
        <w:spacing w:after="0"/>
      </w:pPr>
    </w:p>
    <w:p>
      <w:r>
        <w:rPr>
          <w:b w:val="0"/>
        </w:rPr>
        <w:t>Only price and acreage are sourced. Other amounts are underwriting allowances. Year 0 site cash is $10.244m; Year 1 is $0.848m. A 70% developable-area assumption gives 20.085 acres. A 150,000 SF building footprint would use 17.1% of that area; neither is a survey, design or entitlement conclusion.</w:t>
      </w:r>
    </w:p>
    <w:p>
      <w:pPr>
        <w:pStyle w:val="Heading1"/>
      </w:pPr>
      <w:r>
        <w:t>Development economics and investment screen</w:t>
      </w:r>
    </w:p>
    <w:p>
      <w:r>
        <w:rPr>
          <w:b w:val="0"/>
        </w:rPr>
        <w:t>Two 5 MW phases open in Years 2 and 4. Non-land development is $134.40m, plus site basis, for total CapEx of $145.492m. Funding uses are $148.98m including financing fees and pre-operation interest. Debt is $65.47m at 45% of total CapEx. Funding equity is $83.51m; net equity contributions reach $94.71m after cash shortfalls.</w:t>
      </w:r>
    </w:p>
    <w:tbl>
      <w:tblPr>
        <w:tblW w:type="auto" w:w="0"/>
        <w:jc w:val="center"/>
        <w:tblLayout w:type="fixed"/>
        <w:tblLook w:firstColumn="1" w:firstRow="1" w:lastColumn="0" w:lastRow="0" w:noHBand="0" w:noVBand="1" w:val="04A0"/>
      </w:tblPr>
      <w:tblGrid>
        <w:gridCol w:w="4608"/>
        <w:gridCol w:w="1872"/>
        <w:gridCol w:w="1872"/>
        <w:gridCol w:w="1872"/>
      </w:tblGrid>
      <w:tr>
        <w:trPr>
          <w:cantSplit/>
          <w:tblHeader/>
        </w:trPr>
        <w:tc>
          <w:tcPr>
            <w:tcW w:type="dxa" w:w="4608"/>
            <w:vAlign w:val="center"/>
            <w:shd w:fill="19282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color w:val="FFFFFF"/>
                <w:sz w:val="19"/>
              </w:rPr>
              <w:t>Metric</w:t>
            </w:r>
          </w:p>
        </w:tc>
        <w:tc>
          <w:tcPr>
            <w:tcW w:type="dxa" w:w="1872"/>
            <w:vAlign w:val="center"/>
            <w:shd w:fill="19282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color w:val="FFFFFF"/>
                <w:sz w:val="19"/>
              </w:rPr>
              <w:t>Base</w:t>
            </w:r>
          </w:p>
        </w:tc>
        <w:tc>
          <w:tcPr>
            <w:tcW w:type="dxa" w:w="1872"/>
            <w:vAlign w:val="center"/>
            <w:shd w:fill="19282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color w:val="FFFFFF"/>
                <w:sz w:val="19"/>
              </w:rPr>
              <w:t>Upside</w:t>
            </w:r>
          </w:p>
        </w:tc>
        <w:tc>
          <w:tcPr>
            <w:tcW w:type="dxa" w:w="1872"/>
            <w:vAlign w:val="center"/>
            <w:shd w:fill="19282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color w:val="FFFFFF"/>
                <w:sz w:val="19"/>
              </w:rPr>
              <w:t>Downside</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Equity NPV at 15%</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$6.85m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$57.36m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($60.29m)</w:t>
            </w:r>
          </w:p>
        </w:tc>
      </w:tr>
      <w:tr>
        <w:trPr>
          <w:cantSplit/>
        </w:trPr>
        <w:tc>
          <w:tcPr>
            <w:tcW w:type="dxa" w:w="4608"/>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Equity IRR</w:t>
            </w:r>
          </w:p>
        </w:tc>
        <w:tc>
          <w:tcPr>
            <w:tcW w:type="dxa" w:w="1872"/>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16.2%</w:t>
            </w:r>
          </w:p>
        </w:tc>
        <w:tc>
          <w:tcPr>
            <w:tcW w:type="dxa" w:w="1872"/>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23.7%</w:t>
            </w:r>
          </w:p>
        </w:tc>
        <w:tc>
          <w:tcPr>
            <w:tcW w:type="dxa" w:w="1872"/>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2.1%</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Equity MOIC</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3.50x</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6.06x</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1.16x</w:t>
            </w:r>
          </w:p>
        </w:tc>
      </w:tr>
      <w:tr>
        <w:trPr>
          <w:cantSplit/>
        </w:trPr>
        <w:tc>
          <w:tcPr>
            <w:tcW w:type="dxa" w:w="4608"/>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Minimum DSCR</w:t>
            </w:r>
          </w:p>
        </w:tc>
        <w:tc>
          <w:tcPr>
            <w:tcW w:type="dxa" w:w="1872"/>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0.50x</w:t>
            </w:r>
          </w:p>
        </w:tc>
        <w:tc>
          <w:tcPr>
            <w:tcW w:type="dxa" w:w="1872"/>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0.77x</w:t>
            </w:r>
          </w:p>
        </w:tc>
        <w:tc>
          <w:tcPr>
            <w:tcW w:type="dxa" w:w="1872"/>
            <w:vAlign w:val="center"/>
            <w:shd w:fill="F2F4F5"/>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0.13x</w:t>
            </w:r>
          </w:p>
        </w:tc>
      </w:tr>
      <w:tr>
        <w:trPr>
          <w:cantSplit/>
        </w:trPr>
        <w:tc>
          <w:tcPr>
            <w:tcW w:type="dxa" w:w="46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left"/>
            </w:pPr>
            <w:r>
              <w:rPr>
                <w:b w:val="0"/>
                <w:color w:val="000000"/>
                <w:sz w:val="19"/>
              </w:rPr>
              <w:t>Covenant breach years</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6</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3</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0" w:before="0" w:line="245" w:lineRule="auto"/>
              <w:jc w:val="right"/>
            </w:pPr>
            <w:r>
              <w:rPr>
                <w:b w:val="0"/>
                <w:color w:val="000000"/>
                <w:sz w:val="19"/>
              </w:rPr>
              <w:t>9</w:t>
            </w:r>
          </w:p>
        </w:tc>
      </w:tr>
    </w:tbl>
    <w:p>
      <w:pPr>
        <w:spacing w:after="0"/>
      </w:pPr>
    </w:p>
    <w:p>
      <w:r>
        <w:rPr>
          <w:b w:val="0"/>
          <w:sz w:val="18"/>
        </w:rPr>
        <w:t>Project IRR is 14.30%; project NPV at 10% is $43.47m. All modeled returns are hypothetical.</w:t>
      </w:r>
    </w:p>
    <w:p>
      <w:r>
        <w:br w:type="page"/>
      </w:r>
    </w:p>
    <w:p>
      <w:pPr>
        <w:pStyle w:val="Title"/>
      </w:pPr>
      <w:r>
        <w:t>Feasibility and Capital Conditions</w:t>
      </w:r>
    </w:p>
    <w:p>
      <w:r>
        <w:rPr>
          <w:b/>
        </w:rPr>
        <w:t>Do not treat industrial zoning or nearby infrastructure as approval.</w:t>
      </w:r>
    </w:p>
    <w:p>
      <w:r>
        <w:rPr>
          <w:b/>
        </w:rPr>
        <w:t xml:space="preserve">Land and entitlement. </w:t>
      </w:r>
      <w:r>
        <w:t>Obtain title, survey, easement and legal-access review; confirm parcel boundaries and written permitted-use guidance for a data center. Test setbacks, stormwater, grading, environmental and geotechnical conditions, flood exposure, and whether the assumed usable area survives these constraints.</w:t>
      </w:r>
    </w:p>
    <w:p>
      <w:r>
        <w:rPr>
          <w:b/>
        </w:rPr>
        <w:t xml:space="preserve">Electricity and utilities. </w:t>
      </w:r>
      <w:r>
        <w:t>Require utility capacity, interconnection cost and delivery commitments. Full IT load of 10 MW implies 13.5 MW facility load at PUE 1.35 before reserves. Broker-reported water availability does not establish cooling capacity, sewer capacity or fiber redundancy.</w:t>
      </w:r>
    </w:p>
    <w:p>
      <w:r>
        <w:rPr>
          <w:b/>
        </w:rPr>
        <w:t xml:space="preserve">Commercial and execution. </w:t>
      </w:r>
      <w:r>
        <w:t>Obtain tenant commitments, rent comparables and scoped construction bids. Document power reimbursement, demand charges, tax assessments, insurance and permitting. Add monthly liquidity and energization-delay analysis before a purchase decision.</w:t>
      </w:r>
    </w:p>
    <w:p>
      <w:pPr>
        <w:pStyle w:val="Heading1"/>
      </w:pPr>
      <w:r>
        <w:t>Credit and downside</w:t>
      </w:r>
    </w:p>
    <w:p>
      <w:r>
        <w:rPr>
          <w:b w:val="0"/>
        </w:rPr>
        <w:t>Debt assumes 7% interest, a 1.5% fee and seven equal-principal payments beginning Year 4. Year 4 CFADS of $7.03m covers only 0.50x debt service. Operating shortfalls total $11.20m. Holding operating cash and amortization shape constant, the 1.30x covenant implies about $25.40m of debt capacity; this excludes other lender constraints.</w:t>
      </w:r>
    </w:p>
    <w:p>
      <w:r>
        <w:rPr>
          <w:b w:val="0"/>
        </w:rPr>
        <w:t>Downside assumptions combine rent -10%, lease ramp x0.8, power +20%, non-land CapEx +10%, interest +2 percentage points and a 12x exit. Equity NPV falls to ($60.29m). Upside uses rent +10%, lease x1.1 capped at 100%, power -10%, non-land CapEx -5%, interest -1 point and a 16x exit. Site basis and timing remain fixed in both scenarios; neither clears every covenant year.</w:t>
      </w:r>
    </w:p>
    <w:p>
      <w:r>
        <w:rPr>
          <w:b w:val="0"/>
        </w:rPr>
        <w:t>About 94.5% of base distributions depend on net exit value and working-capital release. Land is included within the developed enterprise value and is not added again. Re-size or sculpt debt, fund reserves and establish distribution restrictions before resubmission. No acquisition or preliminary spending is approved by this memo.</w:t>
      </w:r>
    </w:p>
    <w:p>
      <w:pPr>
        <w:pStyle w:val="Heading1"/>
      </w:pPr>
      <w:r>
        <w:t>Operating assumptions and public context</w:t>
      </w:r>
    </w:p>
    <w:p>
      <w:r>
        <w:rPr>
          <w:b w:val="0"/>
        </w:rPr>
        <w:t>Rent is $225/kW/month, escalating 2.5%, with 95% stabilized leasing, 80% utilization of leased capacity, PUE 1.35 and $0.075/kWh purchased power. These are uncontracted assumptions, not local quotes. Year 10 revenue is $32.03m and EBITDA $22.69m. The Texas electricity reference has been removed; a Virginia utility tariff remains to be obtained.</w:t>
      </w:r>
    </w:p>
    <w:p>
      <w:r>
        <w:rPr>
          <w:b w:val="0"/>
        </w:rPr>
        <w:t>Turner &amp; Townsend reports $12.08/W US construction cost, with material scope exclusions [3]. The case uses $13.44/W non-land development plus separate site costs. CBRE reports a $194.95/kW/month national lease average [4], which does not establish this parcel’s rent. Uptime reports 1.54 weighted-average PUE [5]; 1.35 is an engineering target. No customer servers or GPUs are budgeted.</w:t>
      </w:r>
    </w:p>
    <w:p>
      <w:r>
        <w:rPr>
          <w:b w:val="0"/>
          <w:sz w:val="19"/>
        </w:rPr>
        <w:t>Annual modeling uses a 25% cash-tax proxy on positive phase EBITDA. Depreciation shields, tax losses, DSRA, cash sweeps and promotes are excluded. No confidential employer information is used. Formula schedules, native sensitivities, site inputs and reconciliation checks are in the workbook.</w:t>
      </w:r>
    </w:p>
    <w:p>
      <w:hyperlink r:id="rId11">
        <w:r>
          <w:rPr>
            <w:sz w:val="18"/>
            <w:color w:val="304C62"/>
          </w:rPr>
          <w:t>[1] Active broker listing</w:t>
        </w:r>
      </w:hyperlink>
      <w:r>
        <w:t xml:space="preserve">  </w:t>
      </w:r>
      <w:hyperlink r:id="rId12">
        <w:r>
          <w:rPr>
            <w:sz w:val="18"/>
            <w:color w:val="304C62"/>
          </w:rPr>
          <w:t>[2] Asking-price flyer</w:t>
        </w:r>
      </w:hyperlink>
      <w:r>
        <w:t xml:space="preserve">  </w:t>
      </w:r>
      <w:hyperlink r:id="rId13">
        <w:r>
          <w:rPr>
            <w:sz w:val="18"/>
            <w:color w:val="304C62"/>
          </w:rPr>
          <w:t>[3] Construction index</w:t>
        </w:r>
      </w:hyperlink>
      <w:r>
        <w:t xml:space="preserve">  </w:t>
      </w:r>
      <w:hyperlink r:id="rId14">
        <w:r>
          <w:rPr>
            <w:sz w:val="18"/>
            <w:color w:val="304C62"/>
          </w:rPr>
          <w:t>Scope exclusions</w:t>
        </w:r>
      </w:hyperlink>
      <w:r>
        <w:t xml:space="preserve">  </w:t>
      </w:r>
      <w:hyperlink r:id="rId15">
        <w:r>
          <w:rPr>
            <w:sz w:val="18"/>
            <w:color w:val="304C62"/>
          </w:rPr>
          <w:t>[4] CBRE market reference</w:t>
        </w:r>
      </w:hyperlink>
      <w:r>
        <w:t xml:space="preserve">  </w:t>
      </w:r>
      <w:hyperlink r:id="rId16">
        <w:r>
          <w:rPr>
            <w:sz w:val="18"/>
            <w:color w:val="304C62"/>
          </w:rPr>
          <w:t>[5] Uptime survey</w:t>
        </w:r>
      </w:hyperlink>
    </w:p>
    <w:p>
      <w:r>
        <w:rPr>
          <w:b w:val="0"/>
          <w:sz w:val="16"/>
        </w:rPr>
        <w:t>Sources accessed October 28, 2026. Educational portfolio analysis, not personalized advice, an appraisal or a real financing commitment.</w:t>
      </w:r>
    </w:p>
    <w:sectPr w:rsidR="00FC693F" w:rsidRPr="0006063C" w:rsidSect="00034616">
      <w:headerReference w:type="default" r:id="rId9"/>
      <w:footerReference w:type="default" r:id="rId10"/>
      <w:pgSz w:w="12240" w:h="15840"/>
      <w:pgMar w:top="1368" w:right="1008" w:bottom="936" w:left="1008"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Luna1 Research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54480" cy="534352"/>
          <wp:docPr id="1" name="Picture 1"/>
          <wp:cNvGraphicFramePr>
            <a:graphicFrameLocks noChangeAspect="1"/>
          </wp:cNvGraphicFramePr>
          <a:graphic>
            <a:graphicData uri="http://schemas.openxmlformats.org/drawingml/2006/picture">
              <pic:pic>
                <pic:nvPicPr>
                  <pic:cNvPr id="0" name="luna1-logo-horizontal.png"/>
                  <pic:cNvPicPr/>
                </pic:nvPicPr>
                <pic:blipFill>
                  <a:blip r:embed="rId1"/>
                  <a:stretch>
                    <a:fillRect/>
                  </a:stretch>
                </pic:blipFill>
                <pic:spPr>
                  <a:xfrm>
                    <a:off x="0" y="0"/>
                    <a:ext cx="1554480" cy="53435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0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mmonwealthcommercial.com/property/16000-midlothian-turnpike/" TargetMode="External"/><Relationship Id="rId12" Type="http://schemas.openxmlformats.org/officeDocument/2006/relationships/hyperlink" Target="https://resources.thalhimer.com/marketing/Richmond/flyer3Chesterfield16000Midlothianflyernew16000MidlothianTpke.pdf" TargetMode="External"/><Relationship Id="rId13" Type="http://schemas.openxmlformats.org/officeDocument/2006/relationships/hyperlink" Target="https://reports.turnerandtownsend.com/data-centre-construction-cost-index-2026/ai-data-centres" TargetMode="External"/><Relationship Id="rId14" Type="http://schemas.openxmlformats.org/officeDocument/2006/relationships/hyperlink" Target="https://reports.turnerandtownsend.com/data-centre-construction-cost-index-2026-us/methodology" TargetMode="External"/><Relationship Id="rId15" Type="http://schemas.openxmlformats.org/officeDocument/2006/relationships/hyperlink" Target="https://www.cbre.com/press-releases/fast-growing-north-american-data-center-market-set-records-in-2025" TargetMode="External"/><Relationship Id="rId16" Type="http://schemas.openxmlformats.org/officeDocument/2006/relationships/hyperlink" Target="https://datacenter.uptimeinstitute.com/rs/711-RIA-145/images/2025.Annual.Survey.Report.pdf?vers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Data Center Listed Site Investment Committee Recommendation</dc:title>
  <dc:subject/>
  <dc:creator>Luna1 Research</dc:creator>
  <cp:keywords/>
  <dc:description>generated by python-docx</dc:description>
  <cp:lastModifiedBy/>
  <cp:revision>1</cp:revision>
  <dcterms:created xsi:type="dcterms:W3CDTF">2013-12-23T23:15:00Z</dcterms:created>
  <dcterms:modified xsi:type="dcterms:W3CDTF">2013-12-23T23:15:00Z</dcterms:modified>
  <cp:category/>
</cp:coreProperties>
</file>